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1D54" w14:textId="77777777" w:rsidR="00A20138" w:rsidRDefault="00A20138">
      <w:pPr>
        <w:spacing w:after="0" w:line="240" w:lineRule="auto"/>
        <w:contextualSpacing/>
      </w:pPr>
    </w:p>
    <w:p w14:paraId="56380E8F" w14:textId="77777777" w:rsidR="00E27402" w:rsidRDefault="00E27402">
      <w:pPr>
        <w:spacing w:after="0" w:line="240" w:lineRule="auto"/>
        <w:contextualSpacing/>
      </w:pPr>
      <w:r>
        <w:t xml:space="preserve">To: </w:t>
      </w:r>
      <w:r>
        <w:tab/>
      </w:r>
      <w:r>
        <w:tab/>
        <w:t>Dr. Jennifer Fostel</w:t>
      </w:r>
    </w:p>
    <w:p w14:paraId="10FB4D5C" w14:textId="2A40A777" w:rsidR="0094219F" w:rsidRDefault="0094219F">
      <w:pPr>
        <w:spacing w:after="0" w:line="240" w:lineRule="auto"/>
        <w:contextualSpacing/>
      </w:pPr>
      <w:r>
        <w:tab/>
      </w:r>
      <w:r>
        <w:tab/>
      </w:r>
      <w:r w:rsidRPr="0094219F">
        <w:t>CEBS Scientific Administrator</w:t>
      </w:r>
    </w:p>
    <w:p w14:paraId="149B9362" w14:textId="28EC1603" w:rsidR="00E27402" w:rsidRDefault="001C0517">
      <w:pPr>
        <w:spacing w:after="0" w:line="240" w:lineRule="auto"/>
        <w:ind w:left="720" w:firstLine="720"/>
        <w:contextualSpacing/>
      </w:pPr>
      <w:r>
        <w:t>Program Operations Branch</w:t>
      </w:r>
      <w:r w:rsidR="000E6738">
        <w:t xml:space="preserve"> </w:t>
      </w:r>
    </w:p>
    <w:p w14:paraId="41FC60E9" w14:textId="77777777" w:rsidR="000E6738" w:rsidRDefault="000E6738">
      <w:pPr>
        <w:spacing w:after="0" w:line="240" w:lineRule="auto"/>
        <w:ind w:left="720" w:firstLine="720"/>
        <w:contextualSpacing/>
      </w:pPr>
    </w:p>
    <w:p w14:paraId="50036178" w14:textId="62D8ACCE" w:rsidR="002C2B61" w:rsidRDefault="002C2B61" w:rsidP="000E6738">
      <w:pPr>
        <w:spacing w:after="0" w:line="240" w:lineRule="auto"/>
        <w:contextualSpacing/>
      </w:pPr>
      <w:proofErr w:type="gramStart"/>
      <w:r>
        <w:t>From  Name</w:t>
      </w:r>
      <w:proofErr w:type="gramEnd"/>
      <w:r>
        <w:t>:</w:t>
      </w:r>
    </w:p>
    <w:p w14:paraId="0C31AFC2" w14:textId="07784AC4" w:rsidR="002C2B61" w:rsidRDefault="002C2B61" w:rsidP="000E6738">
      <w:pPr>
        <w:spacing w:after="0" w:line="240" w:lineRule="auto"/>
        <w:contextualSpacing/>
      </w:pPr>
      <w:r>
        <w:tab/>
        <w:t>Affiliation:</w:t>
      </w:r>
    </w:p>
    <w:p w14:paraId="05892E77" w14:textId="2CD8EDC9" w:rsidR="000E6738" w:rsidRDefault="002C2B61" w:rsidP="000E6738">
      <w:pPr>
        <w:spacing w:after="0" w:line="240" w:lineRule="auto"/>
        <w:contextualSpacing/>
      </w:pPr>
      <w:r>
        <w:tab/>
        <w:t>Email:</w:t>
      </w:r>
    </w:p>
    <w:p w14:paraId="6D4EE01B" w14:textId="77777777" w:rsidR="00E27402" w:rsidRDefault="00E27402">
      <w:pPr>
        <w:spacing w:after="0" w:line="240" w:lineRule="auto"/>
        <w:ind w:firstLine="720"/>
        <w:contextualSpacing/>
      </w:pPr>
    </w:p>
    <w:p w14:paraId="25A528CD" w14:textId="70F4C216" w:rsidR="00E27402" w:rsidRDefault="00E27402">
      <w:pPr>
        <w:spacing w:after="0" w:line="240" w:lineRule="auto"/>
        <w:contextualSpacing/>
      </w:pPr>
      <w:r>
        <w:t xml:space="preserve">Project:  </w:t>
      </w:r>
      <w:r>
        <w:tab/>
      </w:r>
    </w:p>
    <w:p w14:paraId="78C6AA05" w14:textId="77777777" w:rsidR="000E6738" w:rsidRDefault="000E6738">
      <w:pPr>
        <w:spacing w:after="0" w:line="240" w:lineRule="auto"/>
        <w:contextualSpacing/>
      </w:pPr>
    </w:p>
    <w:p w14:paraId="78756E89" w14:textId="77777777" w:rsidR="000E6738" w:rsidRDefault="000E6738">
      <w:pPr>
        <w:spacing w:after="0" w:line="240" w:lineRule="auto"/>
        <w:contextualSpacing/>
      </w:pPr>
    </w:p>
    <w:p w14:paraId="4C1B16A4" w14:textId="77777777" w:rsidR="00E27402" w:rsidRDefault="00E27402">
      <w:pPr>
        <w:spacing w:after="0" w:line="240" w:lineRule="auto"/>
        <w:contextualSpacing/>
      </w:pPr>
      <w:r>
        <w:t xml:space="preserve">Designated </w:t>
      </w:r>
    </w:p>
    <w:p w14:paraId="46406712" w14:textId="4C1E6D30" w:rsidR="00E27402" w:rsidRDefault="00E27402">
      <w:pPr>
        <w:spacing w:after="0" w:line="240" w:lineRule="auto"/>
        <w:contextualSpacing/>
      </w:pPr>
      <w:r>
        <w:t>Data Bin:</w:t>
      </w:r>
      <w:r>
        <w:tab/>
      </w:r>
    </w:p>
    <w:p w14:paraId="2FBF010C" w14:textId="77777777" w:rsidR="00E27402" w:rsidRDefault="00E27402">
      <w:pPr>
        <w:spacing w:after="0" w:line="240" w:lineRule="auto"/>
        <w:contextualSpacing/>
      </w:pPr>
    </w:p>
    <w:p w14:paraId="4D97E53A" w14:textId="77777777" w:rsidR="00E27402" w:rsidRDefault="00E27402">
      <w:pPr>
        <w:spacing w:after="0" w:line="240" w:lineRule="auto"/>
        <w:contextualSpacing/>
        <w:rPr>
          <w:u w:val="single"/>
        </w:rPr>
      </w:pPr>
      <w:r>
        <w:t xml:space="preserve">Subject:  </w:t>
      </w:r>
      <w:r>
        <w:tab/>
      </w:r>
      <w:r w:rsidRPr="000D2A36">
        <w:rPr>
          <w:u w:val="single"/>
        </w:rPr>
        <w:t>Storage</w:t>
      </w:r>
      <w:r>
        <w:rPr>
          <w:u w:val="single"/>
        </w:rPr>
        <w:t xml:space="preserve"> and Access of Data</w:t>
      </w:r>
      <w:r w:rsidRPr="000D2A36">
        <w:rPr>
          <w:u w:val="single"/>
        </w:rPr>
        <w:t xml:space="preserve"> </w:t>
      </w:r>
      <w:r>
        <w:rPr>
          <w:u w:val="single"/>
        </w:rPr>
        <w:t xml:space="preserve">in the </w:t>
      </w:r>
      <w:r w:rsidRPr="000D2A36">
        <w:rPr>
          <w:u w:val="single"/>
        </w:rPr>
        <w:t xml:space="preserve">Chemical Effects in Biological Systems </w:t>
      </w:r>
    </w:p>
    <w:p w14:paraId="5741C0EE" w14:textId="77777777" w:rsidR="00E27402" w:rsidRDefault="00E27402">
      <w:pPr>
        <w:spacing w:after="0" w:line="240" w:lineRule="auto"/>
        <w:ind w:left="720" w:firstLine="720"/>
        <w:contextualSpacing/>
        <w:rPr>
          <w:u w:val="single"/>
        </w:rPr>
      </w:pPr>
      <w:r w:rsidRPr="000D2A36">
        <w:rPr>
          <w:u w:val="single"/>
        </w:rPr>
        <w:t>Data</w:t>
      </w:r>
      <w:bookmarkStart w:id="0" w:name="_GoBack"/>
      <w:bookmarkEnd w:id="0"/>
      <w:r w:rsidRPr="000D2A36">
        <w:rPr>
          <w:u w:val="single"/>
        </w:rPr>
        <w:t>base (CEBS)</w:t>
      </w:r>
    </w:p>
    <w:p w14:paraId="109342A8" w14:textId="77777777" w:rsidR="00E27402" w:rsidRDefault="00E27402">
      <w:pPr>
        <w:spacing w:after="0" w:line="240" w:lineRule="auto"/>
        <w:contextualSpacing/>
      </w:pPr>
    </w:p>
    <w:p w14:paraId="0F47ECBD" w14:textId="77777777" w:rsidR="00E27402" w:rsidRDefault="00E27402">
      <w:pPr>
        <w:spacing w:after="0" w:line="240" w:lineRule="auto"/>
        <w:contextualSpacing/>
        <w:rPr>
          <w:i/>
        </w:rPr>
      </w:pPr>
      <w:r w:rsidRPr="000D2A36">
        <w:rPr>
          <w:i/>
        </w:rPr>
        <w:t>[Initial next to paragraphs that apply]</w:t>
      </w:r>
    </w:p>
    <w:p w14:paraId="5551D4B8" w14:textId="77777777" w:rsidR="00E27402" w:rsidRDefault="00E27402">
      <w:pPr>
        <w:spacing w:after="0" w:line="240" w:lineRule="auto"/>
        <w:contextualSpacing/>
      </w:pPr>
    </w:p>
    <w:p w14:paraId="3F5A6A50" w14:textId="2D6A36B3" w:rsidR="00E27402" w:rsidRDefault="00E27402">
      <w:pPr>
        <w:spacing w:after="0" w:line="240" w:lineRule="auto"/>
        <w:contextualSpacing/>
      </w:pPr>
      <w:r>
        <w:t>___ I request the permission of NIEHS to have data from the above identified project uploaded and stored in an individual CEBS data bin (hereinafter the “Designated Data Bin”)</w:t>
      </w:r>
      <w:r w:rsidR="00884C91">
        <w:t xml:space="preserve"> and then formatted and uploaded into the private CEBS relational database</w:t>
      </w:r>
      <w:r>
        <w:t xml:space="preserve">.  This data generally consists of </w:t>
      </w:r>
      <w:r w:rsidR="000E6738">
        <w:t>________________________</w:t>
      </w:r>
      <w:r>
        <w:t xml:space="preserve"> (hereinafter “subject data”).  I certify that I own and control the subject data and it is my intention to retain ownership and control of the subject data</w:t>
      </w:r>
      <w:r w:rsidRPr="00327C66">
        <w:t xml:space="preserve"> </w:t>
      </w:r>
      <w:r>
        <w:t>after it has been uploaded and stored in the Designated Data Bin</w:t>
      </w:r>
      <w:r w:rsidR="00884C91">
        <w:t xml:space="preserve"> and uploaded into the private CEBS relational database</w:t>
      </w:r>
      <w:r>
        <w:t>.</w:t>
      </w:r>
    </w:p>
    <w:p w14:paraId="0AAD663E" w14:textId="77777777" w:rsidR="00E27402" w:rsidRDefault="00E27402">
      <w:pPr>
        <w:spacing w:after="0" w:line="240" w:lineRule="auto"/>
        <w:contextualSpacing/>
      </w:pPr>
    </w:p>
    <w:p w14:paraId="39381092" w14:textId="77777777" w:rsidR="00E27402" w:rsidRDefault="00E27402">
      <w:pPr>
        <w:spacing w:after="0" w:line="240" w:lineRule="auto"/>
        <w:contextualSpacing/>
      </w:pPr>
      <w:r>
        <w:t>__</w:t>
      </w:r>
      <w:proofErr w:type="gramStart"/>
      <w:r>
        <w:t>_  I</w:t>
      </w:r>
      <w:proofErr w:type="gramEnd"/>
      <w:r>
        <w:t xml:space="preserve"> request that the individuals identified below be granted access to the subject data</w:t>
      </w:r>
      <w:r w:rsidR="00884C91">
        <w:t xml:space="preserve">, or </w:t>
      </w:r>
      <w:r w:rsidR="00983E74">
        <w:t xml:space="preserve">to </w:t>
      </w:r>
      <w:r w:rsidR="00884C91">
        <w:t xml:space="preserve">a </w:t>
      </w:r>
      <w:r w:rsidR="00983E74">
        <w:t>specific section (or sections) of the data if indicated,</w:t>
      </w:r>
      <w:r>
        <w:t xml:space="preserve"> in the Designated Data Bin</w:t>
      </w:r>
      <w:r w:rsidR="00884C91">
        <w:t xml:space="preserve"> and in the private CEBS relational database</w:t>
      </w:r>
      <w:r w:rsidRPr="00BF6E16">
        <w:t>.</w:t>
      </w:r>
      <w:r>
        <w:t xml:space="preserve">  It is my intention to continue to retain ownership and control of the subject data</w:t>
      </w:r>
      <w:r w:rsidRPr="00327C66">
        <w:t xml:space="preserve"> </w:t>
      </w:r>
      <w:r>
        <w:t>notwithstanding the access granted to the individuals identified below.</w:t>
      </w:r>
    </w:p>
    <w:p w14:paraId="36E085C9" w14:textId="77777777" w:rsidR="00E27402" w:rsidRDefault="00E27402">
      <w:pPr>
        <w:spacing w:after="0" w:line="240" w:lineRule="auto"/>
        <w:contextualSpacing/>
      </w:pPr>
    </w:p>
    <w:p w14:paraId="5E793434" w14:textId="77777777" w:rsidR="00E27402" w:rsidRDefault="00E27402">
      <w:pPr>
        <w:spacing w:after="0" w:line="240" w:lineRule="auto"/>
        <w:contextualSpacing/>
        <w:rPr>
          <w:i/>
        </w:rPr>
      </w:pPr>
      <w:r>
        <w:rPr>
          <w:i/>
        </w:rPr>
        <w:t>General terms</w:t>
      </w:r>
    </w:p>
    <w:p w14:paraId="6AD493F7" w14:textId="77777777" w:rsidR="00E27402" w:rsidRDefault="00E27402">
      <w:pPr>
        <w:spacing w:after="0" w:line="240" w:lineRule="auto"/>
        <w:contextualSpacing/>
      </w:pPr>
    </w:p>
    <w:p w14:paraId="676D024C" w14:textId="5418339B" w:rsidR="00E00CE0" w:rsidRDefault="00E27402">
      <w:pPr>
        <w:spacing w:after="0" w:line="240" w:lineRule="auto"/>
        <w:contextualSpacing/>
      </w:pPr>
      <w:r>
        <w:t xml:space="preserve">I understand that the subject data is being provided to NIEHS for storage in a Designated Data Bin and </w:t>
      </w:r>
      <w:r w:rsidR="00983E74">
        <w:t xml:space="preserve">the </w:t>
      </w:r>
      <w:r>
        <w:t>private CEBS relational database under a revocable (at any time, for any reason) nonexclusive license.  I understand that if I agree with NIEHS that the subject data is ready to be published or otherwise made available to the public, CEBS technical staff may configure the subject data for loading into the public CEBS relational database, at which time the data can be accessed by the public through the CEBS public user interface without a password.</w:t>
      </w:r>
      <w:r w:rsidR="00E00CE0">
        <w:br w:type="page"/>
      </w:r>
    </w:p>
    <w:p w14:paraId="5BFDFDBE" w14:textId="77777777" w:rsidR="00E27402" w:rsidRDefault="00E27402">
      <w:pPr>
        <w:spacing w:after="0" w:line="240" w:lineRule="auto"/>
        <w:contextualSpacing/>
      </w:pPr>
      <w:r>
        <w:lastRenderedPageBreak/>
        <w:t xml:space="preserve">In the event I wish to make </w:t>
      </w:r>
      <w:r w:rsidRPr="00BF6E16">
        <w:t xml:space="preserve">any changes </w:t>
      </w:r>
      <w:r>
        <w:t>to</w:t>
      </w:r>
      <w:r w:rsidRPr="00BF6E16">
        <w:t xml:space="preserve"> the list of</w:t>
      </w:r>
      <w:r>
        <w:t xml:space="preserve"> individuals</w:t>
      </w:r>
      <w:r w:rsidRPr="00BF6E16">
        <w:t xml:space="preserve"> with access </w:t>
      </w:r>
      <w:r>
        <w:t xml:space="preserve">to the subject data in the Designated Data Bin and </w:t>
      </w:r>
      <w:r w:rsidR="002D5C6B">
        <w:t xml:space="preserve">the </w:t>
      </w:r>
      <w:r>
        <w:t>private CEBS relational database</w:t>
      </w:r>
      <w:r w:rsidRPr="00BF6E16">
        <w:t>,</w:t>
      </w:r>
      <w:r>
        <w:t xml:space="preserve"> </w:t>
      </w:r>
      <w:r w:rsidR="00E00CE0">
        <w:t xml:space="preserve">or the scope of an individual’s access, </w:t>
      </w:r>
      <w:r>
        <w:t xml:space="preserve">I agree to notify you promptly in writing so that NIEHS can </w:t>
      </w:r>
      <w:r w:rsidR="00E00CE0">
        <w:t>revise the</w:t>
      </w:r>
      <w:r>
        <w:t xml:space="preserve"> access </w:t>
      </w:r>
      <w:r w:rsidR="00E00CE0">
        <w:t xml:space="preserve">rights </w:t>
      </w:r>
      <w:r>
        <w:t>as soon as reasonably feasible.  Such writing may consist of an amended version of this agreement.</w:t>
      </w:r>
    </w:p>
    <w:p w14:paraId="39FC3D96" w14:textId="77777777" w:rsidR="00E27402" w:rsidRDefault="00E27402">
      <w:pPr>
        <w:spacing w:after="0" w:line="240" w:lineRule="auto"/>
        <w:contextualSpacing/>
      </w:pPr>
    </w:p>
    <w:p w14:paraId="1CD37BFC" w14:textId="77777777" w:rsidR="00E27402" w:rsidRDefault="00E27402">
      <w:pPr>
        <w:spacing w:after="0" w:line="240" w:lineRule="auto"/>
        <w:contextualSpacing/>
      </w:pPr>
      <w:r>
        <w:t xml:space="preserve">I assume full responsibility for the use of the subject data in the Designated Data Bin and </w:t>
      </w:r>
      <w:r w:rsidR="002D5C6B">
        <w:t xml:space="preserve">the </w:t>
      </w:r>
      <w:r>
        <w:t xml:space="preserve">private CEBS relational database by the identified individuals, and certify that such data will be used only by the individuals to whom access is granted and for a purpose authorized by me.  </w:t>
      </w:r>
    </w:p>
    <w:p w14:paraId="784839E0" w14:textId="77777777" w:rsidR="00E27402" w:rsidRDefault="00E27402">
      <w:pPr>
        <w:spacing w:after="0" w:line="240" w:lineRule="auto"/>
        <w:contextualSpacing/>
      </w:pPr>
    </w:p>
    <w:p w14:paraId="05E14396" w14:textId="77777777" w:rsidR="00E27402" w:rsidRDefault="00E27402">
      <w:pPr>
        <w:spacing w:after="0" w:line="240" w:lineRule="auto"/>
        <w:contextualSpacing/>
      </w:pPr>
      <w:r>
        <w:t xml:space="preserve">I understand that NIEHS assumes no control or ownership over the subject data stored in the Designated Data Bin </w:t>
      </w:r>
      <w:r w:rsidR="00E00CE0">
        <w:t>or</w:t>
      </w:r>
      <w:r w:rsidR="002D5C6B">
        <w:t xml:space="preserve"> the</w:t>
      </w:r>
      <w:r>
        <w:t xml:space="preserve"> private CEBS relational database.  I also understand that, unless otherwise identified below, the only government employees to have access to the subject data will be CEBS technical staff or their designees solely for administrative purposes such as assistance with data formatting and transmission, and database maintenance and security.  I further understand that the subject data may not be distributed except as described in this CEBS Storage and Access Agreement.</w:t>
      </w:r>
    </w:p>
    <w:p w14:paraId="2DEA72B0" w14:textId="77777777" w:rsidR="00E00CE0" w:rsidRDefault="00E00CE0">
      <w:pPr>
        <w:spacing w:after="0" w:line="240" w:lineRule="auto"/>
        <w:contextualSpacing/>
      </w:pPr>
    </w:p>
    <w:p w14:paraId="163E8F53" w14:textId="77777777" w:rsidR="00E00CE0" w:rsidRDefault="00E00CE0">
      <w:pPr>
        <w:spacing w:after="0" w:line="240" w:lineRule="auto"/>
        <w:contextualSpacing/>
      </w:pPr>
      <w:r>
        <w:t>I understand that the CEBS Data Control Policy, as amended, is incorporated into this CEBS Storage and Access Agreement by reference.</w:t>
      </w:r>
    </w:p>
    <w:p w14:paraId="790D1E45" w14:textId="77777777" w:rsidR="00B82DAA" w:rsidRDefault="00B82DAA">
      <w:pPr>
        <w:spacing w:after="0" w:line="240" w:lineRule="auto"/>
        <w:contextualSpacing/>
      </w:pPr>
    </w:p>
    <w:p w14:paraId="074F22F9" w14:textId="05D1387C" w:rsidR="00E27402" w:rsidRDefault="00E27402">
      <w:pPr>
        <w:spacing w:after="0" w:line="240" w:lineRule="auto"/>
        <w:contextualSpacing/>
      </w:pPr>
      <w:r>
        <w:t xml:space="preserve">List of </w:t>
      </w:r>
      <w:r w:rsidR="00716EE9">
        <w:t xml:space="preserve">All </w:t>
      </w:r>
      <w:r>
        <w:t>Individuals with Access</w:t>
      </w:r>
      <w:r w:rsidR="00716EE9">
        <w:t>, including the Principal Investigator</w:t>
      </w:r>
      <w:r>
        <w:t>:</w:t>
      </w:r>
    </w:p>
    <w:p w14:paraId="01FD5F23" w14:textId="77777777" w:rsidR="00E27402" w:rsidRDefault="00E27402">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1537"/>
        <w:gridCol w:w="1712"/>
        <w:gridCol w:w="1700"/>
        <w:gridCol w:w="2969"/>
      </w:tblGrid>
      <w:tr w:rsidR="000A1857" w:rsidRPr="00F44864" w14:paraId="122E9A35" w14:textId="77777777" w:rsidTr="002D04C0">
        <w:tc>
          <w:tcPr>
            <w:tcW w:w="1658" w:type="dxa"/>
          </w:tcPr>
          <w:p w14:paraId="7037696D" w14:textId="77777777" w:rsidR="000A1857" w:rsidRPr="00F44864" w:rsidRDefault="000A1857" w:rsidP="00075466">
            <w:pPr>
              <w:contextualSpacing/>
              <w:rPr>
                <w:b/>
                <w:sz w:val="20"/>
                <w:szCs w:val="20"/>
              </w:rPr>
            </w:pPr>
            <w:r w:rsidRPr="00F44864">
              <w:rPr>
                <w:b/>
                <w:sz w:val="20"/>
                <w:szCs w:val="20"/>
              </w:rPr>
              <w:t>Name</w:t>
            </w:r>
          </w:p>
        </w:tc>
        <w:tc>
          <w:tcPr>
            <w:tcW w:w="1537" w:type="dxa"/>
          </w:tcPr>
          <w:p w14:paraId="2A12D6ED" w14:textId="063100DB" w:rsidR="000A1857" w:rsidRPr="00F44864" w:rsidRDefault="000A1857" w:rsidP="00075466">
            <w:pPr>
              <w:contextualSpacing/>
              <w:rPr>
                <w:b/>
                <w:sz w:val="20"/>
                <w:szCs w:val="20"/>
              </w:rPr>
            </w:pPr>
            <w:r w:rsidRPr="00F44864">
              <w:rPr>
                <w:b/>
                <w:sz w:val="20"/>
                <w:szCs w:val="20"/>
              </w:rPr>
              <w:t>Network User Name*</w:t>
            </w:r>
          </w:p>
        </w:tc>
        <w:tc>
          <w:tcPr>
            <w:tcW w:w="1712" w:type="dxa"/>
          </w:tcPr>
          <w:p w14:paraId="18D45EC8" w14:textId="20FA844A" w:rsidR="000A1857" w:rsidRPr="00F44864" w:rsidRDefault="000A1857" w:rsidP="00075466">
            <w:pPr>
              <w:contextualSpacing/>
              <w:rPr>
                <w:b/>
                <w:sz w:val="20"/>
                <w:szCs w:val="20"/>
              </w:rPr>
            </w:pPr>
            <w:r w:rsidRPr="00F44864">
              <w:rPr>
                <w:b/>
                <w:sz w:val="20"/>
                <w:szCs w:val="20"/>
              </w:rPr>
              <w:t>NIHEXT User Name*</w:t>
            </w:r>
          </w:p>
        </w:tc>
        <w:tc>
          <w:tcPr>
            <w:tcW w:w="1700" w:type="dxa"/>
          </w:tcPr>
          <w:p w14:paraId="2644E384" w14:textId="45B1BD3C" w:rsidR="000A1857" w:rsidRPr="00F44864" w:rsidRDefault="000A1857" w:rsidP="00075466">
            <w:pPr>
              <w:contextualSpacing/>
              <w:rPr>
                <w:b/>
                <w:sz w:val="20"/>
                <w:szCs w:val="20"/>
              </w:rPr>
            </w:pPr>
            <w:r>
              <w:rPr>
                <w:b/>
                <w:sz w:val="20"/>
                <w:szCs w:val="20"/>
              </w:rPr>
              <w:t>User Email Address</w:t>
            </w:r>
          </w:p>
        </w:tc>
        <w:tc>
          <w:tcPr>
            <w:tcW w:w="2969" w:type="dxa"/>
          </w:tcPr>
          <w:p w14:paraId="13B9205C" w14:textId="2DBCDE9F" w:rsidR="000A1857" w:rsidRDefault="000A1857">
            <w:pPr>
              <w:spacing w:after="0" w:line="240" w:lineRule="auto"/>
              <w:contextualSpacing/>
              <w:rPr>
                <w:b/>
                <w:sz w:val="20"/>
                <w:szCs w:val="20"/>
              </w:rPr>
            </w:pPr>
            <w:r>
              <w:rPr>
                <w:b/>
                <w:sz w:val="20"/>
                <w:szCs w:val="20"/>
              </w:rPr>
              <w:t xml:space="preserve">User Role**: </w:t>
            </w:r>
          </w:p>
          <w:p w14:paraId="2FD6155C" w14:textId="77777777" w:rsidR="000A1857" w:rsidRDefault="000A1857" w:rsidP="000A1857">
            <w:pPr>
              <w:pStyle w:val="ListParagraph"/>
              <w:numPr>
                <w:ilvl w:val="0"/>
                <w:numId w:val="1"/>
              </w:numPr>
              <w:spacing w:after="0" w:line="240" w:lineRule="auto"/>
              <w:rPr>
                <w:b/>
                <w:sz w:val="20"/>
                <w:szCs w:val="20"/>
              </w:rPr>
            </w:pPr>
            <w:r>
              <w:rPr>
                <w:b/>
                <w:sz w:val="20"/>
                <w:szCs w:val="20"/>
              </w:rPr>
              <w:t>Bin and User Management</w:t>
            </w:r>
          </w:p>
          <w:p w14:paraId="2F3FF381" w14:textId="77777777" w:rsidR="000A1857" w:rsidRDefault="000A1857" w:rsidP="000A1857">
            <w:pPr>
              <w:pStyle w:val="ListParagraph"/>
              <w:numPr>
                <w:ilvl w:val="0"/>
                <w:numId w:val="1"/>
              </w:numPr>
              <w:spacing w:after="0" w:line="240" w:lineRule="auto"/>
              <w:rPr>
                <w:b/>
                <w:sz w:val="20"/>
                <w:szCs w:val="20"/>
              </w:rPr>
            </w:pPr>
            <w:r>
              <w:rPr>
                <w:b/>
                <w:sz w:val="20"/>
                <w:szCs w:val="20"/>
              </w:rPr>
              <w:t>File Management</w:t>
            </w:r>
          </w:p>
          <w:p w14:paraId="3BD91605" w14:textId="58A5736F" w:rsidR="000A1857" w:rsidRPr="000A1857" w:rsidRDefault="000A1857" w:rsidP="000A1857">
            <w:pPr>
              <w:pStyle w:val="ListParagraph"/>
              <w:numPr>
                <w:ilvl w:val="0"/>
                <w:numId w:val="1"/>
              </w:numPr>
              <w:spacing w:after="0" w:line="240" w:lineRule="auto"/>
              <w:rPr>
                <w:b/>
                <w:sz w:val="20"/>
                <w:szCs w:val="20"/>
              </w:rPr>
            </w:pPr>
            <w:r>
              <w:rPr>
                <w:b/>
                <w:sz w:val="20"/>
                <w:szCs w:val="20"/>
              </w:rPr>
              <w:t>Read Only</w:t>
            </w:r>
          </w:p>
        </w:tc>
      </w:tr>
      <w:tr w:rsidR="002D04C0" w:rsidRPr="00F44864" w14:paraId="6CA46D92" w14:textId="77777777" w:rsidTr="002D04C0">
        <w:tc>
          <w:tcPr>
            <w:tcW w:w="1658" w:type="dxa"/>
          </w:tcPr>
          <w:p w14:paraId="20DE954F" w14:textId="436D716E" w:rsidR="002D04C0" w:rsidRDefault="002D04C0" w:rsidP="00F44864">
            <w:pPr>
              <w:spacing w:after="0" w:line="240" w:lineRule="auto"/>
              <w:contextualSpacing/>
              <w:rPr>
                <w:sz w:val="20"/>
                <w:szCs w:val="20"/>
              </w:rPr>
            </w:pPr>
          </w:p>
          <w:p w14:paraId="1612B811" w14:textId="77777777" w:rsidR="002D04C0" w:rsidRPr="00F44864" w:rsidRDefault="002D04C0" w:rsidP="00F44864">
            <w:pPr>
              <w:spacing w:after="0" w:line="240" w:lineRule="auto"/>
              <w:contextualSpacing/>
              <w:rPr>
                <w:sz w:val="20"/>
                <w:szCs w:val="20"/>
              </w:rPr>
            </w:pPr>
          </w:p>
          <w:p w14:paraId="672C18C6" w14:textId="77777777" w:rsidR="002D04C0" w:rsidRPr="00F44864" w:rsidRDefault="002D04C0" w:rsidP="00075466">
            <w:pPr>
              <w:contextualSpacing/>
              <w:rPr>
                <w:sz w:val="20"/>
                <w:szCs w:val="20"/>
              </w:rPr>
            </w:pPr>
          </w:p>
        </w:tc>
        <w:tc>
          <w:tcPr>
            <w:tcW w:w="1537" w:type="dxa"/>
          </w:tcPr>
          <w:p w14:paraId="4310E69A" w14:textId="77777777" w:rsidR="002D04C0" w:rsidRPr="00F44864" w:rsidRDefault="002D04C0" w:rsidP="00075466">
            <w:pPr>
              <w:contextualSpacing/>
              <w:rPr>
                <w:sz w:val="20"/>
                <w:szCs w:val="20"/>
              </w:rPr>
            </w:pPr>
          </w:p>
        </w:tc>
        <w:tc>
          <w:tcPr>
            <w:tcW w:w="1712" w:type="dxa"/>
          </w:tcPr>
          <w:p w14:paraId="21BF5167" w14:textId="2FCC1365" w:rsidR="002D04C0" w:rsidRPr="00F44864" w:rsidRDefault="002D04C0" w:rsidP="00075466">
            <w:pPr>
              <w:contextualSpacing/>
              <w:rPr>
                <w:sz w:val="20"/>
                <w:szCs w:val="20"/>
              </w:rPr>
            </w:pPr>
          </w:p>
        </w:tc>
        <w:tc>
          <w:tcPr>
            <w:tcW w:w="1700" w:type="dxa"/>
          </w:tcPr>
          <w:p w14:paraId="43A29E5B" w14:textId="77777777" w:rsidR="002D04C0" w:rsidRPr="00F44864" w:rsidRDefault="002D04C0" w:rsidP="00075466">
            <w:pPr>
              <w:contextualSpacing/>
              <w:rPr>
                <w:sz w:val="20"/>
                <w:szCs w:val="20"/>
              </w:rPr>
            </w:pPr>
          </w:p>
        </w:tc>
        <w:tc>
          <w:tcPr>
            <w:tcW w:w="2969" w:type="dxa"/>
          </w:tcPr>
          <w:p w14:paraId="50A1DCE7" w14:textId="77777777" w:rsidR="002D04C0" w:rsidRPr="00F44864" w:rsidRDefault="002D04C0" w:rsidP="00075466">
            <w:pPr>
              <w:contextualSpacing/>
              <w:rPr>
                <w:sz w:val="20"/>
                <w:szCs w:val="20"/>
              </w:rPr>
            </w:pPr>
          </w:p>
        </w:tc>
      </w:tr>
      <w:tr w:rsidR="002D04C0" w:rsidRPr="00F44864" w14:paraId="2941D186" w14:textId="77777777" w:rsidTr="002D04C0">
        <w:tc>
          <w:tcPr>
            <w:tcW w:w="1658" w:type="dxa"/>
          </w:tcPr>
          <w:p w14:paraId="7B0C6A34" w14:textId="77777777" w:rsidR="002D04C0" w:rsidRDefault="002D04C0" w:rsidP="00F44864">
            <w:pPr>
              <w:spacing w:after="0" w:line="240" w:lineRule="auto"/>
              <w:contextualSpacing/>
              <w:rPr>
                <w:sz w:val="20"/>
                <w:szCs w:val="20"/>
              </w:rPr>
            </w:pPr>
          </w:p>
          <w:p w14:paraId="265349F3" w14:textId="77777777" w:rsidR="002D04C0" w:rsidRPr="00F44864" w:rsidRDefault="002D04C0" w:rsidP="00F44864">
            <w:pPr>
              <w:spacing w:after="0" w:line="240" w:lineRule="auto"/>
              <w:contextualSpacing/>
              <w:rPr>
                <w:sz w:val="20"/>
                <w:szCs w:val="20"/>
              </w:rPr>
            </w:pPr>
          </w:p>
          <w:p w14:paraId="6448A8E5" w14:textId="77777777" w:rsidR="002D04C0" w:rsidRPr="00F44864" w:rsidRDefault="002D04C0" w:rsidP="00075466">
            <w:pPr>
              <w:contextualSpacing/>
              <w:rPr>
                <w:sz w:val="20"/>
                <w:szCs w:val="20"/>
              </w:rPr>
            </w:pPr>
          </w:p>
        </w:tc>
        <w:tc>
          <w:tcPr>
            <w:tcW w:w="1537" w:type="dxa"/>
          </w:tcPr>
          <w:p w14:paraId="09D1902D" w14:textId="77777777" w:rsidR="002D04C0" w:rsidRPr="00F44864" w:rsidRDefault="002D04C0" w:rsidP="00075466">
            <w:pPr>
              <w:contextualSpacing/>
              <w:rPr>
                <w:sz w:val="20"/>
                <w:szCs w:val="20"/>
              </w:rPr>
            </w:pPr>
          </w:p>
        </w:tc>
        <w:tc>
          <w:tcPr>
            <w:tcW w:w="1712" w:type="dxa"/>
          </w:tcPr>
          <w:p w14:paraId="52844D2E" w14:textId="7A6B84C6" w:rsidR="002D04C0" w:rsidRPr="00F44864" w:rsidRDefault="002D04C0" w:rsidP="00075466">
            <w:pPr>
              <w:contextualSpacing/>
              <w:rPr>
                <w:sz w:val="20"/>
                <w:szCs w:val="20"/>
              </w:rPr>
            </w:pPr>
          </w:p>
        </w:tc>
        <w:tc>
          <w:tcPr>
            <w:tcW w:w="1700" w:type="dxa"/>
          </w:tcPr>
          <w:p w14:paraId="3891BE72" w14:textId="77777777" w:rsidR="002D04C0" w:rsidRPr="00F44864" w:rsidRDefault="002D04C0" w:rsidP="00075466">
            <w:pPr>
              <w:contextualSpacing/>
              <w:rPr>
                <w:sz w:val="20"/>
                <w:szCs w:val="20"/>
              </w:rPr>
            </w:pPr>
          </w:p>
        </w:tc>
        <w:tc>
          <w:tcPr>
            <w:tcW w:w="2969" w:type="dxa"/>
          </w:tcPr>
          <w:p w14:paraId="4A43E1FF" w14:textId="77777777" w:rsidR="002D04C0" w:rsidRPr="00F44864" w:rsidRDefault="002D04C0" w:rsidP="00075466">
            <w:pPr>
              <w:contextualSpacing/>
              <w:rPr>
                <w:sz w:val="20"/>
                <w:szCs w:val="20"/>
              </w:rPr>
            </w:pPr>
          </w:p>
        </w:tc>
      </w:tr>
      <w:tr w:rsidR="002D04C0" w:rsidRPr="00F44864" w14:paraId="270D2843" w14:textId="77777777" w:rsidTr="002D04C0">
        <w:tc>
          <w:tcPr>
            <w:tcW w:w="1658" w:type="dxa"/>
          </w:tcPr>
          <w:p w14:paraId="5D0FCC02" w14:textId="77777777" w:rsidR="002D04C0" w:rsidRDefault="002D04C0" w:rsidP="00F44864">
            <w:pPr>
              <w:spacing w:after="0" w:line="240" w:lineRule="auto"/>
              <w:contextualSpacing/>
              <w:rPr>
                <w:sz w:val="20"/>
                <w:szCs w:val="20"/>
              </w:rPr>
            </w:pPr>
          </w:p>
          <w:p w14:paraId="421249C2" w14:textId="77777777" w:rsidR="002D04C0" w:rsidRPr="00F44864" w:rsidRDefault="002D04C0" w:rsidP="00F44864">
            <w:pPr>
              <w:spacing w:after="0" w:line="240" w:lineRule="auto"/>
              <w:contextualSpacing/>
              <w:rPr>
                <w:sz w:val="20"/>
                <w:szCs w:val="20"/>
              </w:rPr>
            </w:pPr>
          </w:p>
          <w:p w14:paraId="52A479EE" w14:textId="77777777" w:rsidR="002D04C0" w:rsidRPr="00F44864" w:rsidRDefault="002D04C0" w:rsidP="00075466">
            <w:pPr>
              <w:contextualSpacing/>
              <w:rPr>
                <w:sz w:val="20"/>
                <w:szCs w:val="20"/>
              </w:rPr>
            </w:pPr>
          </w:p>
        </w:tc>
        <w:tc>
          <w:tcPr>
            <w:tcW w:w="1537" w:type="dxa"/>
          </w:tcPr>
          <w:p w14:paraId="316C46DC" w14:textId="77777777" w:rsidR="002D04C0" w:rsidRPr="00F44864" w:rsidRDefault="002D04C0" w:rsidP="00075466">
            <w:pPr>
              <w:contextualSpacing/>
              <w:rPr>
                <w:sz w:val="20"/>
                <w:szCs w:val="20"/>
              </w:rPr>
            </w:pPr>
          </w:p>
        </w:tc>
        <w:tc>
          <w:tcPr>
            <w:tcW w:w="1712" w:type="dxa"/>
          </w:tcPr>
          <w:p w14:paraId="0AE6933B" w14:textId="4794C592" w:rsidR="002D04C0" w:rsidRPr="00F44864" w:rsidRDefault="002D04C0" w:rsidP="00075466">
            <w:pPr>
              <w:contextualSpacing/>
              <w:rPr>
                <w:sz w:val="20"/>
                <w:szCs w:val="20"/>
              </w:rPr>
            </w:pPr>
          </w:p>
        </w:tc>
        <w:tc>
          <w:tcPr>
            <w:tcW w:w="1700" w:type="dxa"/>
          </w:tcPr>
          <w:p w14:paraId="4AAAE3E6" w14:textId="77777777" w:rsidR="002D04C0" w:rsidRPr="00F44864" w:rsidRDefault="002D04C0" w:rsidP="00075466">
            <w:pPr>
              <w:contextualSpacing/>
              <w:rPr>
                <w:sz w:val="20"/>
                <w:szCs w:val="20"/>
              </w:rPr>
            </w:pPr>
          </w:p>
        </w:tc>
        <w:tc>
          <w:tcPr>
            <w:tcW w:w="2969" w:type="dxa"/>
          </w:tcPr>
          <w:p w14:paraId="18F5C181" w14:textId="77777777" w:rsidR="002D04C0" w:rsidRPr="00F44864" w:rsidRDefault="002D04C0" w:rsidP="00075466">
            <w:pPr>
              <w:contextualSpacing/>
              <w:rPr>
                <w:sz w:val="20"/>
                <w:szCs w:val="20"/>
              </w:rPr>
            </w:pPr>
          </w:p>
        </w:tc>
      </w:tr>
      <w:tr w:rsidR="002D04C0" w:rsidRPr="00F44864" w14:paraId="266D6E8C" w14:textId="77777777" w:rsidTr="002D04C0">
        <w:tc>
          <w:tcPr>
            <w:tcW w:w="1658" w:type="dxa"/>
          </w:tcPr>
          <w:p w14:paraId="3ECE673C" w14:textId="77777777" w:rsidR="002D04C0" w:rsidRDefault="002D04C0" w:rsidP="00F44864">
            <w:pPr>
              <w:spacing w:after="0" w:line="240" w:lineRule="auto"/>
              <w:contextualSpacing/>
              <w:rPr>
                <w:sz w:val="20"/>
                <w:szCs w:val="20"/>
              </w:rPr>
            </w:pPr>
          </w:p>
          <w:p w14:paraId="0F5B3AEC" w14:textId="77777777" w:rsidR="002D04C0" w:rsidRPr="00F44864" w:rsidRDefault="002D04C0" w:rsidP="00F44864">
            <w:pPr>
              <w:spacing w:after="0" w:line="240" w:lineRule="auto"/>
              <w:contextualSpacing/>
              <w:rPr>
                <w:sz w:val="20"/>
                <w:szCs w:val="20"/>
              </w:rPr>
            </w:pPr>
          </w:p>
          <w:p w14:paraId="39F02635" w14:textId="77777777" w:rsidR="002D04C0" w:rsidRPr="00F44864" w:rsidRDefault="002D04C0" w:rsidP="00075466">
            <w:pPr>
              <w:contextualSpacing/>
              <w:rPr>
                <w:sz w:val="20"/>
                <w:szCs w:val="20"/>
              </w:rPr>
            </w:pPr>
          </w:p>
        </w:tc>
        <w:tc>
          <w:tcPr>
            <w:tcW w:w="1537" w:type="dxa"/>
          </w:tcPr>
          <w:p w14:paraId="3D5286DC" w14:textId="77777777" w:rsidR="002D04C0" w:rsidRPr="00F44864" w:rsidRDefault="002D04C0" w:rsidP="00075466">
            <w:pPr>
              <w:contextualSpacing/>
              <w:rPr>
                <w:sz w:val="20"/>
                <w:szCs w:val="20"/>
              </w:rPr>
            </w:pPr>
          </w:p>
        </w:tc>
        <w:tc>
          <w:tcPr>
            <w:tcW w:w="1712" w:type="dxa"/>
          </w:tcPr>
          <w:p w14:paraId="4CF69B1E" w14:textId="21E73114" w:rsidR="002D04C0" w:rsidRPr="00F44864" w:rsidRDefault="002D04C0" w:rsidP="00075466">
            <w:pPr>
              <w:contextualSpacing/>
              <w:rPr>
                <w:sz w:val="20"/>
                <w:szCs w:val="20"/>
              </w:rPr>
            </w:pPr>
          </w:p>
        </w:tc>
        <w:tc>
          <w:tcPr>
            <w:tcW w:w="1700" w:type="dxa"/>
          </w:tcPr>
          <w:p w14:paraId="2BA99BE6" w14:textId="77777777" w:rsidR="002D04C0" w:rsidRPr="00F44864" w:rsidRDefault="002D04C0" w:rsidP="00075466">
            <w:pPr>
              <w:contextualSpacing/>
              <w:rPr>
                <w:sz w:val="20"/>
                <w:szCs w:val="20"/>
              </w:rPr>
            </w:pPr>
          </w:p>
        </w:tc>
        <w:tc>
          <w:tcPr>
            <w:tcW w:w="2969" w:type="dxa"/>
          </w:tcPr>
          <w:p w14:paraId="24CEA3C4" w14:textId="77777777" w:rsidR="002D04C0" w:rsidRPr="00F44864" w:rsidRDefault="002D04C0" w:rsidP="00075466">
            <w:pPr>
              <w:contextualSpacing/>
              <w:rPr>
                <w:sz w:val="20"/>
                <w:szCs w:val="20"/>
              </w:rPr>
            </w:pPr>
          </w:p>
        </w:tc>
      </w:tr>
    </w:tbl>
    <w:p w14:paraId="7F2E5EB2" w14:textId="77777777" w:rsidR="00E27402" w:rsidRPr="000A1857" w:rsidRDefault="00E27402">
      <w:pPr>
        <w:spacing w:after="0" w:line="240" w:lineRule="auto"/>
        <w:contextualSpacing/>
        <w:rPr>
          <w:i/>
          <w:sz w:val="20"/>
          <w:szCs w:val="20"/>
        </w:rPr>
      </w:pPr>
      <w:r w:rsidRPr="000A1857">
        <w:rPr>
          <w:i/>
          <w:sz w:val="20"/>
          <w:szCs w:val="20"/>
        </w:rPr>
        <w:t>* If the identified individual has neither a Network User Name nor an NIHEXT User Name, please leave both columns blank and a user name will be assigned.</w:t>
      </w:r>
    </w:p>
    <w:p w14:paraId="7085C23E" w14:textId="4F4BF3D5" w:rsidR="000A1857" w:rsidRPr="000A1857" w:rsidRDefault="000A1857" w:rsidP="000A1857">
      <w:pPr>
        <w:spacing w:after="0" w:line="240" w:lineRule="auto"/>
        <w:contextualSpacing/>
        <w:rPr>
          <w:i/>
          <w:sz w:val="20"/>
          <w:szCs w:val="20"/>
        </w:rPr>
      </w:pPr>
      <w:r w:rsidRPr="000A1857">
        <w:rPr>
          <w:i/>
          <w:sz w:val="20"/>
          <w:szCs w:val="20"/>
        </w:rPr>
        <w:t>**User Roles include: Bin &amp; User Management (user assignment, library creation, upload and download files); File Management (upload and download files); Read only (download files)</w:t>
      </w:r>
    </w:p>
    <w:p w14:paraId="19718910" w14:textId="77777777" w:rsidR="00E27402" w:rsidRDefault="00E27402">
      <w:pPr>
        <w:spacing w:after="0" w:line="240" w:lineRule="auto"/>
        <w:contextualSpacing/>
      </w:pPr>
    </w:p>
    <w:p w14:paraId="33A3E63B" w14:textId="77777777" w:rsidR="00E27402" w:rsidRDefault="00E27402">
      <w:pPr>
        <w:spacing w:after="0" w:line="240" w:lineRule="auto"/>
        <w:contextualSpacing/>
      </w:pPr>
    </w:p>
    <w:p w14:paraId="31C440D9" w14:textId="77777777" w:rsidR="00E27402" w:rsidRDefault="00E27402">
      <w:pPr>
        <w:spacing w:after="0" w:line="240" w:lineRule="auto"/>
        <w:contextualSpacing/>
      </w:pPr>
      <w:r>
        <w:t>____________________</w:t>
      </w:r>
      <w:r w:rsidR="00A20138">
        <w:t>_</w:t>
      </w:r>
      <w:r>
        <w:tab/>
      </w:r>
      <w:r>
        <w:tab/>
        <w:t>____________</w:t>
      </w:r>
    </w:p>
    <w:p w14:paraId="50F88F63" w14:textId="77777777" w:rsidR="00E27402" w:rsidRDefault="00E27402" w:rsidP="00A20138">
      <w:pPr>
        <w:spacing w:after="0" w:line="240" w:lineRule="auto"/>
        <w:contextualSpacing/>
      </w:pPr>
      <w:r>
        <w:t>(Signature of Data Owner)</w:t>
      </w:r>
      <w:r>
        <w:tab/>
      </w:r>
      <w:r>
        <w:tab/>
        <w:t>(Date)</w:t>
      </w:r>
    </w:p>
    <w:sectPr w:rsidR="00E27402" w:rsidSect="006300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46A4" w14:textId="77777777" w:rsidR="002B1048" w:rsidRDefault="002B1048" w:rsidP="00327C66">
      <w:pPr>
        <w:spacing w:after="0" w:line="240" w:lineRule="auto"/>
      </w:pPr>
      <w:r>
        <w:separator/>
      </w:r>
    </w:p>
  </w:endnote>
  <w:endnote w:type="continuationSeparator" w:id="0">
    <w:p w14:paraId="16F71049" w14:textId="77777777" w:rsidR="002B1048" w:rsidRDefault="002B1048" w:rsidP="0032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3092" w14:textId="77777777" w:rsidR="000A7CDF" w:rsidRDefault="000A7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F97C" w14:textId="5298AAB4" w:rsidR="00884C91" w:rsidRDefault="009B1E6D" w:rsidP="009B1E6D">
    <w:pPr>
      <w:pStyle w:val="Footer"/>
    </w:pPr>
    <w:r>
      <w:ptab w:relativeTo="margin" w:alignment="right" w:leader="none"/>
    </w: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C582" w14:textId="71BDE84D" w:rsidR="001B3B7B" w:rsidRDefault="001D107C">
    <w:pPr>
      <w:pStyle w:val="Footer"/>
    </w:pPr>
    <w:r>
      <w:t>02/01</w:t>
    </w:r>
    <w:r w:rsidR="001B3B7B">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9E17D" w14:textId="77777777" w:rsidR="002B1048" w:rsidRDefault="002B1048" w:rsidP="00327C66">
      <w:pPr>
        <w:spacing w:after="0" w:line="240" w:lineRule="auto"/>
      </w:pPr>
      <w:r>
        <w:separator/>
      </w:r>
    </w:p>
  </w:footnote>
  <w:footnote w:type="continuationSeparator" w:id="0">
    <w:p w14:paraId="4B45E097" w14:textId="77777777" w:rsidR="002B1048" w:rsidRDefault="002B1048" w:rsidP="0032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2504" w14:textId="77777777" w:rsidR="000A7CDF" w:rsidRDefault="000A7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FDAD" w14:textId="77777777" w:rsidR="00884C91" w:rsidRDefault="00884C91">
    <w:pPr>
      <w:jc w:val="center"/>
      <w:rPr>
        <w:b/>
      </w:rPr>
    </w:pPr>
    <w:r>
      <w:rPr>
        <w:b/>
      </w:rPr>
      <w:t>CEBS STORAGE AND ACCESS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FE5F" w14:textId="77777777" w:rsidR="001F71C9" w:rsidRPr="001F71C9" w:rsidRDefault="001F71C9" w:rsidP="001F71C9">
    <w:pPr>
      <w:pStyle w:val="Footer"/>
      <w:rPr>
        <w:i/>
        <w:sz w:val="20"/>
        <w:szCs w:val="20"/>
      </w:rPr>
    </w:pPr>
    <w:r w:rsidRPr="001F71C9">
      <w:rPr>
        <w:i/>
        <w:sz w:val="20"/>
        <w:szCs w:val="20"/>
      </w:rPr>
      <w:t>Please fill out form, print, sign and return to Dr. Jennifer Fostel.</w:t>
    </w:r>
  </w:p>
  <w:p w14:paraId="45D49A67" w14:textId="1C886E38" w:rsidR="001F71C9" w:rsidRPr="001F71C9" w:rsidRDefault="001F71C9" w:rsidP="001F71C9">
    <w:pPr>
      <w:pStyle w:val="Footer"/>
      <w:rPr>
        <w:i/>
        <w:sz w:val="20"/>
        <w:szCs w:val="20"/>
      </w:rPr>
    </w:pPr>
    <w:r w:rsidRPr="001F71C9">
      <w:rPr>
        <w:i/>
        <w:sz w:val="20"/>
        <w:szCs w:val="20"/>
      </w:rPr>
      <w:t xml:space="preserve">Email: fostel@niehs.nih.gov; fax: </w:t>
    </w:r>
    <w:r w:rsidR="000A7CDF">
      <w:rPr>
        <w:i/>
        <w:sz w:val="20"/>
        <w:szCs w:val="20"/>
      </w:rPr>
      <w:t>301-480-</w:t>
    </w:r>
    <w:r w:rsidR="000A7CDF" w:rsidRPr="000A7CDF">
      <w:rPr>
        <w:i/>
        <w:sz w:val="20"/>
        <w:szCs w:val="20"/>
      </w:rPr>
      <w:t>3408</w:t>
    </w:r>
    <w:r w:rsidRPr="001F71C9">
      <w:rPr>
        <w:i/>
        <w:sz w:val="20"/>
        <w:szCs w:val="20"/>
      </w:rPr>
      <w:t>; or mail:</w:t>
    </w:r>
  </w:p>
  <w:p w14:paraId="45D98BCA" w14:textId="083428FA" w:rsidR="001F71C9" w:rsidRPr="001F71C9" w:rsidRDefault="001F71C9" w:rsidP="001F71C9">
    <w:pPr>
      <w:rPr>
        <w:b/>
        <w:sz w:val="20"/>
        <w:szCs w:val="20"/>
      </w:rPr>
    </w:pPr>
    <w:r w:rsidRPr="001F71C9">
      <w:rPr>
        <w:i/>
        <w:sz w:val="20"/>
        <w:szCs w:val="20"/>
      </w:rPr>
      <w:t>Mail Drop K2-01, 530 Davis Drive, Morrisville, NC  27560.</w:t>
    </w:r>
    <w:r w:rsidRPr="001F71C9">
      <w:rPr>
        <w:sz w:val="20"/>
        <w:szCs w:val="20"/>
      </w:rPr>
      <w:t xml:space="preserve">  </w:t>
    </w:r>
  </w:p>
  <w:p w14:paraId="714B1B8C" w14:textId="77777777" w:rsidR="00884C91" w:rsidRDefault="00884C91">
    <w:pPr>
      <w:jc w:val="center"/>
      <w:rPr>
        <w:b/>
      </w:rPr>
    </w:pPr>
    <w:r>
      <w:rPr>
        <w:b/>
      </w:rPr>
      <w:t>CEBS STORAGE AND ACCESS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71FFB"/>
    <w:multiLevelType w:val="hybridMultilevel"/>
    <w:tmpl w:val="280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93"/>
    <w:rsid w:val="00016305"/>
    <w:rsid w:val="00075466"/>
    <w:rsid w:val="000A1857"/>
    <w:rsid w:val="000A7CDF"/>
    <w:rsid w:val="000D2A36"/>
    <w:rsid w:val="000D5689"/>
    <w:rsid w:val="000D61B8"/>
    <w:rsid w:val="000E6738"/>
    <w:rsid w:val="00185A26"/>
    <w:rsid w:val="00190463"/>
    <w:rsid w:val="001B3B7B"/>
    <w:rsid w:val="001C0517"/>
    <w:rsid w:val="001D107C"/>
    <w:rsid w:val="001F71C9"/>
    <w:rsid w:val="002644E2"/>
    <w:rsid w:val="0026623B"/>
    <w:rsid w:val="00273A93"/>
    <w:rsid w:val="002B1048"/>
    <w:rsid w:val="002C2B61"/>
    <w:rsid w:val="002D04C0"/>
    <w:rsid w:val="002D5C6B"/>
    <w:rsid w:val="00327C66"/>
    <w:rsid w:val="00333844"/>
    <w:rsid w:val="003C2AB9"/>
    <w:rsid w:val="003E59AB"/>
    <w:rsid w:val="003F3FB3"/>
    <w:rsid w:val="00452F87"/>
    <w:rsid w:val="00550936"/>
    <w:rsid w:val="00561EE6"/>
    <w:rsid w:val="00577240"/>
    <w:rsid w:val="00580597"/>
    <w:rsid w:val="00580DD2"/>
    <w:rsid w:val="005A0B16"/>
    <w:rsid w:val="006300A4"/>
    <w:rsid w:val="00696233"/>
    <w:rsid w:val="00716EE9"/>
    <w:rsid w:val="00750664"/>
    <w:rsid w:val="008558F3"/>
    <w:rsid w:val="00875364"/>
    <w:rsid w:val="00884C91"/>
    <w:rsid w:val="008B1D31"/>
    <w:rsid w:val="008C4713"/>
    <w:rsid w:val="008F1221"/>
    <w:rsid w:val="0094219F"/>
    <w:rsid w:val="0095589D"/>
    <w:rsid w:val="00972C7A"/>
    <w:rsid w:val="00983E74"/>
    <w:rsid w:val="009B1E6D"/>
    <w:rsid w:val="00A20138"/>
    <w:rsid w:val="00A7687D"/>
    <w:rsid w:val="00AA119C"/>
    <w:rsid w:val="00AE2485"/>
    <w:rsid w:val="00B02392"/>
    <w:rsid w:val="00B82DAA"/>
    <w:rsid w:val="00BF6E16"/>
    <w:rsid w:val="00C90E14"/>
    <w:rsid w:val="00CC618F"/>
    <w:rsid w:val="00CF3505"/>
    <w:rsid w:val="00D81BA2"/>
    <w:rsid w:val="00E00CE0"/>
    <w:rsid w:val="00E27402"/>
    <w:rsid w:val="00EB194C"/>
    <w:rsid w:val="00F2157C"/>
    <w:rsid w:val="00F4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D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87"/>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C66"/>
    <w:rPr>
      <w:rFonts w:ascii="Tahoma" w:hAnsi="Tahoma" w:cs="Tahoma"/>
      <w:sz w:val="16"/>
      <w:szCs w:val="16"/>
    </w:rPr>
  </w:style>
  <w:style w:type="paragraph" w:styleId="Header">
    <w:name w:val="header"/>
    <w:basedOn w:val="Normal"/>
    <w:link w:val="HeaderChar"/>
    <w:uiPriority w:val="99"/>
    <w:rsid w:val="00327C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7C66"/>
    <w:rPr>
      <w:rFonts w:cs="Times New Roman"/>
    </w:rPr>
  </w:style>
  <w:style w:type="paragraph" w:styleId="Footer">
    <w:name w:val="footer"/>
    <w:basedOn w:val="Normal"/>
    <w:link w:val="FooterChar"/>
    <w:uiPriority w:val="99"/>
    <w:rsid w:val="00327C6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7C66"/>
    <w:rPr>
      <w:rFonts w:cs="Times New Roman"/>
    </w:rPr>
  </w:style>
  <w:style w:type="character" w:styleId="CommentReference">
    <w:name w:val="annotation reference"/>
    <w:basedOn w:val="DefaultParagraphFont"/>
    <w:uiPriority w:val="99"/>
    <w:semiHidden/>
    <w:rsid w:val="00327C66"/>
    <w:rPr>
      <w:rFonts w:cs="Times New Roman"/>
      <w:sz w:val="16"/>
      <w:szCs w:val="16"/>
    </w:rPr>
  </w:style>
  <w:style w:type="paragraph" w:styleId="CommentText">
    <w:name w:val="annotation text"/>
    <w:basedOn w:val="Normal"/>
    <w:link w:val="CommentTextChar"/>
    <w:uiPriority w:val="99"/>
    <w:semiHidden/>
    <w:rsid w:val="00327C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C66"/>
    <w:rPr>
      <w:rFonts w:cs="Times New Roman"/>
      <w:sz w:val="20"/>
      <w:szCs w:val="20"/>
    </w:rPr>
  </w:style>
  <w:style w:type="paragraph" w:styleId="CommentSubject">
    <w:name w:val="annotation subject"/>
    <w:basedOn w:val="CommentText"/>
    <w:next w:val="CommentText"/>
    <w:link w:val="CommentSubjectChar"/>
    <w:uiPriority w:val="99"/>
    <w:semiHidden/>
    <w:rsid w:val="00327C66"/>
    <w:rPr>
      <w:b/>
      <w:bCs/>
    </w:rPr>
  </w:style>
  <w:style w:type="character" w:customStyle="1" w:styleId="CommentSubjectChar">
    <w:name w:val="Comment Subject Char"/>
    <w:basedOn w:val="CommentTextChar"/>
    <w:link w:val="CommentSubject"/>
    <w:uiPriority w:val="99"/>
    <w:semiHidden/>
    <w:locked/>
    <w:rsid w:val="00327C66"/>
    <w:rPr>
      <w:rFonts w:cs="Times New Roman"/>
      <w:b/>
      <w:bCs/>
      <w:sz w:val="20"/>
      <w:szCs w:val="20"/>
    </w:rPr>
  </w:style>
  <w:style w:type="table" w:styleId="TableGrid">
    <w:name w:val="Table Grid"/>
    <w:basedOn w:val="TableNormal"/>
    <w:uiPriority w:val="99"/>
    <w:rsid w:val="0007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5466"/>
    <w:pPr>
      <w:ind w:left="720"/>
      <w:contextualSpacing/>
    </w:pPr>
  </w:style>
  <w:style w:type="character" w:styleId="Hyperlink">
    <w:name w:val="Hyperlink"/>
    <w:basedOn w:val="DefaultParagraphFont"/>
    <w:uiPriority w:val="99"/>
    <w:unhideWhenUsed/>
    <w:rsid w:val="001F7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87"/>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C66"/>
    <w:rPr>
      <w:rFonts w:ascii="Tahoma" w:hAnsi="Tahoma" w:cs="Tahoma"/>
      <w:sz w:val="16"/>
      <w:szCs w:val="16"/>
    </w:rPr>
  </w:style>
  <w:style w:type="paragraph" w:styleId="Header">
    <w:name w:val="header"/>
    <w:basedOn w:val="Normal"/>
    <w:link w:val="HeaderChar"/>
    <w:uiPriority w:val="99"/>
    <w:rsid w:val="00327C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7C66"/>
    <w:rPr>
      <w:rFonts w:cs="Times New Roman"/>
    </w:rPr>
  </w:style>
  <w:style w:type="paragraph" w:styleId="Footer">
    <w:name w:val="footer"/>
    <w:basedOn w:val="Normal"/>
    <w:link w:val="FooterChar"/>
    <w:uiPriority w:val="99"/>
    <w:rsid w:val="00327C6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7C66"/>
    <w:rPr>
      <w:rFonts w:cs="Times New Roman"/>
    </w:rPr>
  </w:style>
  <w:style w:type="character" w:styleId="CommentReference">
    <w:name w:val="annotation reference"/>
    <w:basedOn w:val="DefaultParagraphFont"/>
    <w:uiPriority w:val="99"/>
    <w:semiHidden/>
    <w:rsid w:val="00327C66"/>
    <w:rPr>
      <w:rFonts w:cs="Times New Roman"/>
      <w:sz w:val="16"/>
      <w:szCs w:val="16"/>
    </w:rPr>
  </w:style>
  <w:style w:type="paragraph" w:styleId="CommentText">
    <w:name w:val="annotation text"/>
    <w:basedOn w:val="Normal"/>
    <w:link w:val="CommentTextChar"/>
    <w:uiPriority w:val="99"/>
    <w:semiHidden/>
    <w:rsid w:val="00327C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C66"/>
    <w:rPr>
      <w:rFonts w:cs="Times New Roman"/>
      <w:sz w:val="20"/>
      <w:szCs w:val="20"/>
    </w:rPr>
  </w:style>
  <w:style w:type="paragraph" w:styleId="CommentSubject">
    <w:name w:val="annotation subject"/>
    <w:basedOn w:val="CommentText"/>
    <w:next w:val="CommentText"/>
    <w:link w:val="CommentSubjectChar"/>
    <w:uiPriority w:val="99"/>
    <w:semiHidden/>
    <w:rsid w:val="00327C66"/>
    <w:rPr>
      <w:b/>
      <w:bCs/>
    </w:rPr>
  </w:style>
  <w:style w:type="character" w:customStyle="1" w:styleId="CommentSubjectChar">
    <w:name w:val="Comment Subject Char"/>
    <w:basedOn w:val="CommentTextChar"/>
    <w:link w:val="CommentSubject"/>
    <w:uiPriority w:val="99"/>
    <w:semiHidden/>
    <w:locked/>
    <w:rsid w:val="00327C66"/>
    <w:rPr>
      <w:rFonts w:cs="Times New Roman"/>
      <w:b/>
      <w:bCs/>
      <w:sz w:val="20"/>
      <w:szCs w:val="20"/>
    </w:rPr>
  </w:style>
  <w:style w:type="table" w:styleId="TableGrid">
    <w:name w:val="Table Grid"/>
    <w:basedOn w:val="TableNormal"/>
    <w:uiPriority w:val="99"/>
    <w:rsid w:val="0007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5466"/>
    <w:pPr>
      <w:ind w:left="720"/>
      <w:contextualSpacing/>
    </w:pPr>
  </w:style>
  <w:style w:type="character" w:styleId="Hyperlink">
    <w:name w:val="Hyperlink"/>
    <w:basedOn w:val="DefaultParagraphFont"/>
    <w:uiPriority w:val="99"/>
    <w:unhideWhenUsed/>
    <w:rsid w:val="001F7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Newbold, Retha (NIH/NIEHS) [G]</dc:creator>
  <cp:lastModifiedBy>Carolyn Favaro</cp:lastModifiedBy>
  <cp:revision>2</cp:revision>
  <cp:lastPrinted>2013-01-31T21:04:00Z</cp:lastPrinted>
  <dcterms:created xsi:type="dcterms:W3CDTF">2013-08-12T12:22:00Z</dcterms:created>
  <dcterms:modified xsi:type="dcterms:W3CDTF">2013-08-12T12:22:00Z</dcterms:modified>
</cp:coreProperties>
</file>